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7F2B4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issuing shares from </w:t>
      </w:r>
      <w:r w:rsidR="00947A04">
        <w:rPr>
          <w:rFonts w:ascii="Arial" w:hAnsi="Arial" w:cs="Arial"/>
          <w:b/>
          <w:sz w:val="20"/>
          <w:szCs w:val="20"/>
        </w:rPr>
        <w:t xml:space="preserve">convertible </w:t>
      </w:r>
      <w:r>
        <w:rPr>
          <w:rFonts w:ascii="Arial" w:hAnsi="Arial" w:cs="Arial"/>
          <w:b/>
          <w:sz w:val="20"/>
          <w:szCs w:val="20"/>
        </w:rPr>
        <w:t>bonds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F2B4E">
        <w:rPr>
          <w:rFonts w:ascii="Arial" w:hAnsi="Arial" w:cs="Arial"/>
          <w:sz w:val="20"/>
          <w:szCs w:val="20"/>
        </w:rPr>
        <w:t>10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F2B4E" w:rsidRPr="007F2B4E">
        <w:rPr>
          <w:rFonts w:ascii="Arial" w:hAnsi="Arial" w:cs="Arial"/>
          <w:sz w:val="20"/>
          <w:szCs w:val="20"/>
        </w:rPr>
        <w:t>Vietnam Travel and Marketing Transports Joint Stock Company</w:t>
      </w:r>
      <w:r w:rsidR="007F2B4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1C0A1A" w:rsidRPr="001C0A1A">
        <w:rPr>
          <w:rFonts w:ascii="Arial" w:hAnsi="Arial" w:cs="Arial"/>
          <w:sz w:val="20"/>
          <w:szCs w:val="20"/>
        </w:rPr>
        <w:t xml:space="preserve">on issuing shares from </w:t>
      </w:r>
      <w:r w:rsidR="00947A04">
        <w:rPr>
          <w:rFonts w:ascii="Arial" w:hAnsi="Arial" w:cs="Arial"/>
          <w:sz w:val="20"/>
          <w:szCs w:val="20"/>
        </w:rPr>
        <w:t xml:space="preserve">convertible </w:t>
      </w:r>
      <w:r w:rsidR="001C0A1A" w:rsidRPr="001C0A1A">
        <w:rPr>
          <w:rFonts w:ascii="Arial" w:hAnsi="Arial" w:cs="Arial"/>
          <w:sz w:val="20"/>
          <w:szCs w:val="20"/>
        </w:rPr>
        <w:t xml:space="preserve">bonds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75180" w:rsidRDefault="001C0A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A1A">
        <w:rPr>
          <w:rFonts w:ascii="Arial" w:hAnsi="Arial" w:cs="Arial"/>
          <w:sz w:val="20"/>
          <w:szCs w:val="20"/>
        </w:rPr>
        <w:t xml:space="preserve">Article 1: Approve the issuance of shares to convert convertible bonds </w:t>
      </w:r>
      <w:r w:rsidR="00775180">
        <w:rPr>
          <w:rFonts w:ascii="Arial" w:hAnsi="Arial" w:cs="Arial"/>
          <w:sz w:val="20"/>
          <w:szCs w:val="20"/>
        </w:rPr>
        <w:t>as follows:</w:t>
      </w:r>
    </w:p>
    <w:p w:rsidR="00775180" w:rsidRDefault="0077518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Name of convertible bond: Bond</w:t>
      </w:r>
      <w:r w:rsidR="001C0A1A" w:rsidRPr="001C0A1A">
        <w:rPr>
          <w:rFonts w:ascii="Arial" w:hAnsi="Arial" w:cs="Arial"/>
          <w:sz w:val="20"/>
          <w:szCs w:val="20"/>
        </w:rPr>
        <w:t xml:space="preserve"> of </w:t>
      </w:r>
      <w:r w:rsidRPr="00775180">
        <w:rPr>
          <w:rFonts w:ascii="Arial" w:hAnsi="Arial" w:cs="Arial"/>
          <w:sz w:val="20"/>
          <w:szCs w:val="20"/>
        </w:rPr>
        <w:t xml:space="preserve">Vietnam Travel and Marketing Transports Joint Stock Company </w:t>
      </w:r>
      <w:r w:rsidR="001C0A1A" w:rsidRPr="001C0A1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1C0A1A" w:rsidRPr="001C0A1A">
        <w:rPr>
          <w:rFonts w:ascii="Arial" w:hAnsi="Arial" w:cs="Arial"/>
          <w:sz w:val="20"/>
          <w:szCs w:val="20"/>
        </w:rPr>
        <w:t>Vietravel</w:t>
      </w:r>
      <w:proofErr w:type="spellEnd"/>
      <w:r w:rsidR="001C0A1A" w:rsidRPr="001C0A1A">
        <w:rPr>
          <w:rFonts w:ascii="Arial" w:hAnsi="Arial" w:cs="Arial"/>
          <w:sz w:val="20"/>
          <w:szCs w:val="20"/>
        </w:rPr>
        <w:t xml:space="preserve"> </w:t>
      </w:r>
    </w:p>
    <w:p w:rsidR="00775180" w:rsidRDefault="0077518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Bond type: Convertible bond</w:t>
      </w:r>
    </w:p>
    <w:p w:rsidR="00BB6267" w:rsidRDefault="0077518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C0A1A" w:rsidRPr="001C0A1A">
        <w:rPr>
          <w:rFonts w:ascii="Arial" w:hAnsi="Arial" w:cs="Arial"/>
          <w:sz w:val="20"/>
          <w:szCs w:val="20"/>
        </w:rPr>
        <w:t xml:space="preserve"> Bond code: VIETRAVEL_BOND_2016 </w:t>
      </w:r>
    </w:p>
    <w:p w:rsidR="00BB6267" w:rsidRDefault="00BB62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0A1A" w:rsidRPr="001C0A1A">
        <w:rPr>
          <w:rFonts w:ascii="Arial" w:hAnsi="Arial" w:cs="Arial"/>
          <w:sz w:val="20"/>
          <w:szCs w:val="20"/>
        </w:rPr>
        <w:t xml:space="preserve">Bond form: </w:t>
      </w:r>
      <w:r>
        <w:rPr>
          <w:rFonts w:ascii="Arial" w:hAnsi="Arial" w:cs="Arial"/>
          <w:sz w:val="20"/>
          <w:szCs w:val="20"/>
        </w:rPr>
        <w:t>book bond</w:t>
      </w:r>
      <w:r w:rsidR="001C0A1A" w:rsidRPr="001C0A1A">
        <w:rPr>
          <w:rFonts w:ascii="Arial" w:hAnsi="Arial" w:cs="Arial"/>
          <w:sz w:val="20"/>
          <w:szCs w:val="20"/>
        </w:rPr>
        <w:t xml:space="preserve"> </w:t>
      </w:r>
    </w:p>
    <w:p w:rsidR="00BB6267" w:rsidRDefault="00BB62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 v</w:t>
      </w:r>
      <w:r w:rsidR="001C0A1A" w:rsidRPr="001C0A1A">
        <w:rPr>
          <w:rFonts w:ascii="Arial" w:hAnsi="Arial" w:cs="Arial"/>
          <w:sz w:val="20"/>
          <w:szCs w:val="20"/>
        </w:rPr>
        <w:t>alue</w:t>
      </w:r>
      <w:r w:rsidR="00AC1420">
        <w:rPr>
          <w:rFonts w:ascii="Arial" w:hAnsi="Arial" w:cs="Arial"/>
          <w:sz w:val="20"/>
          <w:szCs w:val="20"/>
        </w:rPr>
        <w:t xml:space="preserve"> of the bond</w:t>
      </w:r>
      <w:r w:rsidR="001C0A1A" w:rsidRPr="001C0A1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VND 1,000,000</w:t>
      </w:r>
      <w:r w:rsidR="001C0A1A" w:rsidRPr="001C0A1A">
        <w:rPr>
          <w:rFonts w:ascii="Arial" w:hAnsi="Arial" w:cs="Arial"/>
          <w:sz w:val="20"/>
          <w:szCs w:val="20"/>
        </w:rPr>
        <w:t xml:space="preserve">/ bond </w:t>
      </w:r>
    </w:p>
    <w:p w:rsidR="00BB6267" w:rsidRDefault="00BB62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0A1A" w:rsidRPr="001C0A1A">
        <w:rPr>
          <w:rFonts w:ascii="Arial" w:hAnsi="Arial" w:cs="Arial"/>
          <w:sz w:val="20"/>
          <w:szCs w:val="20"/>
        </w:rPr>
        <w:t xml:space="preserve">Bond issuance date: May 22, 2017 </w:t>
      </w:r>
    </w:p>
    <w:p w:rsidR="00A4571A" w:rsidRDefault="00BB626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87D96">
        <w:rPr>
          <w:rFonts w:ascii="Arial" w:hAnsi="Arial" w:cs="Arial"/>
          <w:sz w:val="20"/>
          <w:szCs w:val="20"/>
        </w:rPr>
        <w:t>Restricted transfer:</w:t>
      </w:r>
      <w:r w:rsidR="001C0A1A" w:rsidRPr="001C0A1A">
        <w:rPr>
          <w:rFonts w:ascii="Arial" w:hAnsi="Arial" w:cs="Arial"/>
          <w:sz w:val="20"/>
          <w:szCs w:val="20"/>
        </w:rPr>
        <w:t xml:space="preserve"> 03 years from date of </w:t>
      </w:r>
      <w:r w:rsidR="00A4571A">
        <w:rPr>
          <w:rFonts w:ascii="Arial" w:hAnsi="Arial" w:cs="Arial"/>
          <w:sz w:val="20"/>
          <w:szCs w:val="20"/>
        </w:rPr>
        <w:t>completing the issuance procedures</w:t>
      </w:r>
    </w:p>
    <w:p w:rsidR="00A4571A" w:rsidRDefault="00A457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Due</w:t>
      </w:r>
      <w:r w:rsidR="001C0A1A" w:rsidRPr="001C0A1A">
        <w:rPr>
          <w:rFonts w:ascii="Arial" w:hAnsi="Arial" w:cs="Arial"/>
          <w:sz w:val="20"/>
          <w:szCs w:val="20"/>
        </w:rPr>
        <w:t xml:space="preserve"> date: May 22, 2020 </w:t>
      </w:r>
    </w:p>
    <w:p w:rsidR="00C77573" w:rsidRDefault="00A4571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for interest payment</w:t>
      </w:r>
      <w:r w:rsidR="00C77573">
        <w:rPr>
          <w:rFonts w:ascii="Arial" w:hAnsi="Arial" w:cs="Arial"/>
          <w:sz w:val="20"/>
          <w:szCs w:val="20"/>
        </w:rPr>
        <w:t xml:space="preserve"> and conversion</w:t>
      </w:r>
      <w:r>
        <w:rPr>
          <w:rFonts w:ascii="Arial" w:hAnsi="Arial" w:cs="Arial"/>
          <w:sz w:val="20"/>
          <w:szCs w:val="20"/>
        </w:rPr>
        <w:t xml:space="preserve">: </w:t>
      </w:r>
      <w:r w:rsidR="001C0A1A" w:rsidRPr="001C0A1A">
        <w:rPr>
          <w:rFonts w:ascii="Arial" w:hAnsi="Arial" w:cs="Arial"/>
          <w:sz w:val="20"/>
          <w:szCs w:val="20"/>
        </w:rPr>
        <w:t xml:space="preserve">May 20, 2020 </w:t>
      </w:r>
    </w:p>
    <w:p w:rsidR="00C77573" w:rsidRDefault="00C775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0A1A" w:rsidRPr="001C0A1A">
        <w:rPr>
          <w:rFonts w:ascii="Arial" w:hAnsi="Arial" w:cs="Arial"/>
          <w:sz w:val="20"/>
          <w:szCs w:val="20"/>
        </w:rPr>
        <w:t xml:space="preserve">Conversion date: June 10, 2020 </w:t>
      </w:r>
    </w:p>
    <w:p w:rsidR="00AC1420" w:rsidRDefault="00C775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Name of share</w:t>
      </w:r>
      <w:r w:rsidR="001C0A1A" w:rsidRPr="001C0A1A">
        <w:rPr>
          <w:rFonts w:ascii="Arial" w:hAnsi="Arial" w:cs="Arial"/>
          <w:sz w:val="20"/>
          <w:szCs w:val="20"/>
        </w:rPr>
        <w:t xml:space="preserve"> issued</w:t>
      </w:r>
      <w:r>
        <w:rPr>
          <w:rFonts w:ascii="Arial" w:hAnsi="Arial" w:cs="Arial"/>
          <w:sz w:val="20"/>
          <w:szCs w:val="20"/>
        </w:rPr>
        <w:t xml:space="preserve"> for conversion: Share</w:t>
      </w:r>
      <w:r w:rsidR="00AC1420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</w:t>
      </w:r>
      <w:r w:rsidRPr="00C77573">
        <w:rPr>
          <w:rFonts w:ascii="Arial" w:hAnsi="Arial" w:cs="Arial"/>
          <w:sz w:val="20"/>
          <w:szCs w:val="20"/>
        </w:rPr>
        <w:t xml:space="preserve">Vietnam Travel and Marketing Transports Joint Stock Company </w:t>
      </w:r>
      <w:r w:rsidR="001C0A1A" w:rsidRPr="001C0A1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1C0A1A" w:rsidRPr="001C0A1A">
        <w:rPr>
          <w:rFonts w:ascii="Arial" w:hAnsi="Arial" w:cs="Arial"/>
          <w:sz w:val="20"/>
          <w:szCs w:val="20"/>
        </w:rPr>
        <w:t>Vietravel</w:t>
      </w:r>
      <w:proofErr w:type="spellEnd"/>
      <w:r w:rsidR="001C0A1A" w:rsidRPr="001C0A1A">
        <w:rPr>
          <w:rFonts w:ascii="Arial" w:hAnsi="Arial" w:cs="Arial"/>
          <w:sz w:val="20"/>
          <w:szCs w:val="20"/>
        </w:rPr>
        <w:t xml:space="preserve"> </w:t>
      </w:r>
    </w:p>
    <w:p w:rsidR="001C0A1A" w:rsidRDefault="00AC142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C0A1A" w:rsidRPr="001C0A1A">
        <w:rPr>
          <w:rFonts w:ascii="Arial" w:hAnsi="Arial" w:cs="Arial"/>
          <w:sz w:val="20"/>
          <w:szCs w:val="20"/>
        </w:rPr>
        <w:t xml:space="preserve">Par value of </w:t>
      </w:r>
      <w:r>
        <w:rPr>
          <w:rFonts w:ascii="Arial" w:hAnsi="Arial" w:cs="Arial"/>
          <w:sz w:val="20"/>
          <w:szCs w:val="20"/>
        </w:rPr>
        <w:t xml:space="preserve">the share: </w:t>
      </w:r>
      <w:r w:rsidR="001C0A1A" w:rsidRPr="001C0A1A">
        <w:rPr>
          <w:rFonts w:ascii="Arial" w:hAnsi="Arial" w:cs="Arial"/>
          <w:sz w:val="20"/>
          <w:szCs w:val="20"/>
        </w:rPr>
        <w:t xml:space="preserve">VND 10,000 </w:t>
      </w:r>
    </w:p>
    <w:p w:rsidR="00240C90" w:rsidRDefault="00240C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0C90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Type of share: Common share </w:t>
      </w:r>
      <w:r w:rsidRPr="00240C90">
        <w:rPr>
          <w:rFonts w:ascii="Arial" w:hAnsi="Arial" w:cs="Arial"/>
          <w:sz w:val="20"/>
          <w:szCs w:val="20"/>
        </w:rPr>
        <w:t xml:space="preserve"> </w:t>
      </w:r>
    </w:p>
    <w:p w:rsidR="00240C90" w:rsidRDefault="00240C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40C90">
        <w:rPr>
          <w:rFonts w:ascii="Arial" w:hAnsi="Arial" w:cs="Arial"/>
          <w:sz w:val="20"/>
          <w:szCs w:val="20"/>
        </w:rPr>
        <w:t xml:space="preserve">Purpose: To convert convertible bonds </w:t>
      </w:r>
    </w:p>
    <w:p w:rsidR="002B3900" w:rsidRDefault="00240C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40C90">
        <w:rPr>
          <w:rFonts w:ascii="Arial" w:hAnsi="Arial" w:cs="Arial"/>
          <w:sz w:val="20"/>
          <w:szCs w:val="20"/>
        </w:rPr>
        <w:t>Conversion price</w:t>
      </w:r>
      <w:r>
        <w:rPr>
          <w:rFonts w:ascii="Arial" w:hAnsi="Arial" w:cs="Arial"/>
          <w:sz w:val="20"/>
          <w:szCs w:val="20"/>
        </w:rPr>
        <w:t>: VND 10,000</w:t>
      </w:r>
      <w:r w:rsidRPr="00240C90">
        <w:rPr>
          <w:rFonts w:ascii="Arial" w:hAnsi="Arial" w:cs="Arial"/>
          <w:sz w:val="20"/>
          <w:szCs w:val="20"/>
        </w:rPr>
        <w:t xml:space="preserve">/ share, </w:t>
      </w:r>
      <w:r w:rsidR="002B3900">
        <w:rPr>
          <w:rFonts w:ascii="Arial" w:hAnsi="Arial" w:cs="Arial"/>
          <w:sz w:val="20"/>
          <w:szCs w:val="20"/>
        </w:rPr>
        <w:t>according to par value of share</w:t>
      </w:r>
      <w:r w:rsidRPr="00240C90">
        <w:rPr>
          <w:rFonts w:ascii="Arial" w:hAnsi="Arial" w:cs="Arial"/>
          <w:sz w:val="20"/>
          <w:szCs w:val="20"/>
        </w:rPr>
        <w:t xml:space="preserve"> </w:t>
      </w:r>
    </w:p>
    <w:p w:rsidR="002B3900" w:rsidRDefault="002B39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0C90" w:rsidRPr="00240C90">
        <w:rPr>
          <w:rFonts w:ascii="Arial" w:hAnsi="Arial" w:cs="Arial"/>
          <w:sz w:val="20"/>
          <w:szCs w:val="20"/>
        </w:rPr>
        <w:t>Conversion rate</w:t>
      </w:r>
      <w:r>
        <w:rPr>
          <w:rFonts w:ascii="Arial" w:hAnsi="Arial" w:cs="Arial"/>
          <w:sz w:val="20"/>
          <w:szCs w:val="20"/>
        </w:rPr>
        <w:t>:</w:t>
      </w:r>
      <w:r w:rsidR="00240C90" w:rsidRPr="00240C90">
        <w:rPr>
          <w:rFonts w:ascii="Arial" w:hAnsi="Arial" w:cs="Arial"/>
          <w:sz w:val="20"/>
          <w:szCs w:val="20"/>
        </w:rPr>
        <w:t xml:space="preserve"> 1 bond converted into 100 </w:t>
      </w:r>
      <w:r>
        <w:rPr>
          <w:rFonts w:ascii="Arial" w:hAnsi="Arial" w:cs="Arial"/>
          <w:sz w:val="20"/>
          <w:szCs w:val="20"/>
        </w:rPr>
        <w:t xml:space="preserve">common </w:t>
      </w:r>
      <w:r w:rsidR="00240C90" w:rsidRPr="00240C90">
        <w:rPr>
          <w:rFonts w:ascii="Arial" w:hAnsi="Arial" w:cs="Arial"/>
          <w:sz w:val="20"/>
          <w:szCs w:val="20"/>
        </w:rPr>
        <w:t xml:space="preserve">shares  </w:t>
      </w:r>
    </w:p>
    <w:p w:rsidR="00684E64" w:rsidRDefault="002B390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Right of conversion</w:t>
      </w:r>
      <w:r w:rsidR="00240C90" w:rsidRPr="00240C90">
        <w:rPr>
          <w:rFonts w:ascii="Arial" w:hAnsi="Arial" w:cs="Arial"/>
          <w:sz w:val="20"/>
          <w:szCs w:val="20"/>
        </w:rPr>
        <w:t>: Bondholders have the right to convert or not convert th</w:t>
      </w:r>
      <w:r w:rsidR="00684E64">
        <w:rPr>
          <w:rFonts w:ascii="Arial" w:hAnsi="Arial" w:cs="Arial"/>
          <w:sz w:val="20"/>
          <w:szCs w:val="20"/>
        </w:rPr>
        <w:t>e principal of purchased bonds</w:t>
      </w:r>
    </w:p>
    <w:p w:rsidR="00684E64" w:rsidRDefault="00684E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Eligible buyer:</w:t>
      </w:r>
      <w:r w:rsidR="00240C90" w:rsidRPr="00240C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Bondholders</w:t>
      </w:r>
    </w:p>
    <w:p w:rsidR="00A03B98" w:rsidRDefault="00684E6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40C90" w:rsidRPr="00240C90">
        <w:rPr>
          <w:rFonts w:ascii="Arial" w:hAnsi="Arial" w:cs="Arial"/>
          <w:sz w:val="20"/>
          <w:szCs w:val="20"/>
        </w:rPr>
        <w:t xml:space="preserve"> </w:t>
      </w:r>
      <w:r w:rsidR="00A03B98">
        <w:rPr>
          <w:rFonts w:ascii="Arial" w:hAnsi="Arial" w:cs="Arial"/>
          <w:sz w:val="20"/>
          <w:szCs w:val="20"/>
        </w:rPr>
        <w:t xml:space="preserve">Number of shareholders issued to: </w:t>
      </w:r>
      <w:r w:rsidR="00240C90" w:rsidRPr="00240C90">
        <w:rPr>
          <w:rFonts w:ascii="Arial" w:hAnsi="Arial" w:cs="Arial"/>
          <w:sz w:val="20"/>
          <w:szCs w:val="20"/>
        </w:rPr>
        <w:t xml:space="preserve">54 </w:t>
      </w:r>
      <w:r w:rsidR="00A03B98">
        <w:rPr>
          <w:rFonts w:ascii="Arial" w:hAnsi="Arial" w:cs="Arial"/>
          <w:sz w:val="20"/>
          <w:szCs w:val="20"/>
        </w:rPr>
        <w:t>shareholders</w:t>
      </w:r>
    </w:p>
    <w:p w:rsidR="0001408D" w:rsidRDefault="00A03B9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N</w:t>
      </w:r>
      <w:r w:rsidR="00240C90" w:rsidRPr="00240C90">
        <w:rPr>
          <w:rFonts w:ascii="Arial" w:hAnsi="Arial" w:cs="Arial"/>
          <w:sz w:val="20"/>
          <w:szCs w:val="20"/>
        </w:rPr>
        <w:t xml:space="preserve">umber of VTR shares issued </w:t>
      </w:r>
      <w:r w:rsidR="0001408D">
        <w:rPr>
          <w:rFonts w:ascii="Arial" w:hAnsi="Arial" w:cs="Arial"/>
          <w:sz w:val="20"/>
          <w:szCs w:val="20"/>
        </w:rPr>
        <w:t xml:space="preserve">to convert the bond as registered: </w:t>
      </w:r>
      <w:r w:rsidR="00240C90" w:rsidRPr="00240C90">
        <w:rPr>
          <w:rFonts w:ascii="Arial" w:hAnsi="Arial" w:cs="Arial"/>
          <w:sz w:val="20"/>
          <w:szCs w:val="20"/>
        </w:rPr>
        <w:t xml:space="preserve">1,797,200 shares </w:t>
      </w:r>
    </w:p>
    <w:p w:rsidR="007F430F" w:rsidRDefault="000140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430F">
        <w:rPr>
          <w:rFonts w:ascii="Arial" w:hAnsi="Arial" w:cs="Arial"/>
          <w:sz w:val="20"/>
          <w:szCs w:val="20"/>
        </w:rPr>
        <w:t>T</w:t>
      </w:r>
      <w:r w:rsidR="00240C90" w:rsidRPr="00240C90">
        <w:rPr>
          <w:rFonts w:ascii="Arial" w:hAnsi="Arial" w:cs="Arial"/>
          <w:sz w:val="20"/>
          <w:szCs w:val="20"/>
        </w:rPr>
        <w:t xml:space="preserve">otal value of </w:t>
      </w:r>
      <w:r w:rsidR="007F430F">
        <w:rPr>
          <w:rFonts w:ascii="Arial" w:hAnsi="Arial" w:cs="Arial"/>
          <w:sz w:val="20"/>
          <w:szCs w:val="20"/>
        </w:rPr>
        <w:t xml:space="preserve">issued shares: VND 17,972,000,000 </w:t>
      </w:r>
    </w:p>
    <w:p w:rsidR="007F430F" w:rsidRDefault="007F4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0C90" w:rsidRPr="00240C90">
        <w:rPr>
          <w:rFonts w:ascii="Arial" w:hAnsi="Arial" w:cs="Arial"/>
          <w:sz w:val="20"/>
          <w:szCs w:val="20"/>
        </w:rPr>
        <w:t>Expected increase in charter capital</w:t>
      </w:r>
      <w:r>
        <w:rPr>
          <w:rFonts w:ascii="Arial" w:hAnsi="Arial" w:cs="Arial"/>
          <w:sz w:val="20"/>
          <w:szCs w:val="20"/>
        </w:rPr>
        <w:t>: VND</w:t>
      </w:r>
      <w:r w:rsidR="00240C90" w:rsidRPr="00240C90">
        <w:rPr>
          <w:rFonts w:ascii="Arial" w:hAnsi="Arial" w:cs="Arial"/>
          <w:sz w:val="20"/>
          <w:szCs w:val="20"/>
        </w:rPr>
        <w:t xml:space="preserve"> 17,972,000,000 </w:t>
      </w:r>
    </w:p>
    <w:p w:rsidR="00C51A9D" w:rsidRDefault="007F430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0C90" w:rsidRPr="00240C90">
        <w:rPr>
          <w:rFonts w:ascii="Arial" w:hAnsi="Arial" w:cs="Arial"/>
          <w:sz w:val="20"/>
          <w:szCs w:val="20"/>
        </w:rPr>
        <w:t>List of investors</w:t>
      </w:r>
      <w:r w:rsidR="00706E0F">
        <w:rPr>
          <w:rFonts w:ascii="Arial" w:hAnsi="Arial" w:cs="Arial"/>
          <w:sz w:val="20"/>
          <w:szCs w:val="20"/>
        </w:rPr>
        <w:t xml:space="preserve"> owning bondholders registered to convert into shares:</w:t>
      </w:r>
      <w:r w:rsidR="00240C90" w:rsidRPr="00240C90">
        <w:rPr>
          <w:rFonts w:ascii="Arial" w:hAnsi="Arial" w:cs="Arial"/>
          <w:sz w:val="20"/>
          <w:szCs w:val="20"/>
        </w:rPr>
        <w:t xml:space="preserve"> According to the attached </w:t>
      </w:r>
      <w:r w:rsidR="00706E0F">
        <w:rPr>
          <w:rFonts w:ascii="Arial" w:hAnsi="Arial" w:cs="Arial"/>
          <w:sz w:val="20"/>
          <w:szCs w:val="20"/>
        </w:rPr>
        <w:t>a</w:t>
      </w:r>
      <w:r w:rsidR="00240C90" w:rsidRPr="00240C90">
        <w:rPr>
          <w:rFonts w:ascii="Arial" w:hAnsi="Arial" w:cs="Arial"/>
          <w:sz w:val="20"/>
          <w:szCs w:val="20"/>
        </w:rPr>
        <w:t xml:space="preserve">ppendix </w:t>
      </w:r>
    </w:p>
    <w:p w:rsidR="00AC1420" w:rsidRDefault="00C51A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Shares issued to convert b</w:t>
      </w:r>
      <w:r w:rsidR="00240C90" w:rsidRPr="00240C90">
        <w:rPr>
          <w:rFonts w:ascii="Arial" w:hAnsi="Arial" w:cs="Arial"/>
          <w:sz w:val="20"/>
          <w:szCs w:val="20"/>
        </w:rPr>
        <w:t xml:space="preserve">onds will be registered </w:t>
      </w:r>
      <w:r>
        <w:rPr>
          <w:rFonts w:ascii="Arial" w:hAnsi="Arial" w:cs="Arial"/>
          <w:sz w:val="20"/>
          <w:szCs w:val="20"/>
        </w:rPr>
        <w:t xml:space="preserve">at the Vietnam Securities Depository and Hanoi Stock Exchange </w:t>
      </w:r>
    </w:p>
    <w:p w:rsidR="0009402A" w:rsidRDefault="00443F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F3D">
        <w:rPr>
          <w:rFonts w:ascii="Arial" w:hAnsi="Arial" w:cs="Arial"/>
          <w:sz w:val="20"/>
          <w:szCs w:val="20"/>
        </w:rPr>
        <w:t>Article 2: Amending the Charter of organization</w:t>
      </w:r>
      <w:r>
        <w:rPr>
          <w:rFonts w:ascii="Arial" w:hAnsi="Arial" w:cs="Arial"/>
          <w:sz w:val="20"/>
          <w:szCs w:val="20"/>
        </w:rPr>
        <w:t xml:space="preserve"> and operation of the Company in line with</w:t>
      </w:r>
      <w:r w:rsidRPr="00443F3D">
        <w:rPr>
          <w:rFonts w:ascii="Arial" w:hAnsi="Arial" w:cs="Arial"/>
          <w:sz w:val="20"/>
          <w:szCs w:val="20"/>
        </w:rPr>
        <w:t xml:space="preserve"> the new charter capital level after completing the conversion of bonds into </w:t>
      </w:r>
      <w:r>
        <w:rPr>
          <w:rFonts w:ascii="Arial" w:hAnsi="Arial" w:cs="Arial"/>
          <w:sz w:val="20"/>
          <w:szCs w:val="20"/>
        </w:rPr>
        <w:t>shares</w:t>
      </w:r>
      <w:r w:rsidRPr="00443F3D">
        <w:rPr>
          <w:rFonts w:ascii="Arial" w:hAnsi="Arial" w:cs="Arial"/>
          <w:sz w:val="20"/>
          <w:szCs w:val="20"/>
        </w:rPr>
        <w:t xml:space="preserve"> and registering</w:t>
      </w:r>
      <w:r>
        <w:rPr>
          <w:rFonts w:ascii="Arial" w:hAnsi="Arial" w:cs="Arial"/>
          <w:sz w:val="20"/>
          <w:szCs w:val="20"/>
        </w:rPr>
        <w:t xml:space="preserve"> for the change in</w:t>
      </w:r>
      <w:r w:rsidRPr="00443F3D">
        <w:rPr>
          <w:rFonts w:ascii="Arial" w:hAnsi="Arial" w:cs="Arial"/>
          <w:sz w:val="20"/>
          <w:szCs w:val="20"/>
        </w:rPr>
        <w:t xml:space="preserve"> the Company's business</w:t>
      </w:r>
      <w:r>
        <w:rPr>
          <w:rFonts w:ascii="Arial" w:hAnsi="Arial" w:cs="Arial"/>
          <w:sz w:val="20"/>
          <w:szCs w:val="20"/>
        </w:rPr>
        <w:t xml:space="preserve"> registration certificate </w:t>
      </w:r>
      <w:r w:rsidRPr="00443F3D">
        <w:rPr>
          <w:rFonts w:ascii="Arial" w:hAnsi="Arial" w:cs="Arial"/>
          <w:sz w:val="20"/>
          <w:szCs w:val="20"/>
        </w:rPr>
        <w:t>at Department of Planning and I</w:t>
      </w:r>
      <w:r w:rsidR="0009402A">
        <w:rPr>
          <w:rFonts w:ascii="Arial" w:hAnsi="Arial" w:cs="Arial"/>
          <w:sz w:val="20"/>
          <w:szCs w:val="20"/>
        </w:rPr>
        <w:t>nvestment of Ho Chi Minh City</w:t>
      </w:r>
    </w:p>
    <w:p w:rsidR="00F64358" w:rsidRDefault="00443F3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3F3D">
        <w:rPr>
          <w:rFonts w:ascii="Arial" w:hAnsi="Arial" w:cs="Arial"/>
          <w:sz w:val="20"/>
          <w:szCs w:val="20"/>
        </w:rPr>
        <w:t>Article 3</w:t>
      </w:r>
      <w:r w:rsidR="0009402A">
        <w:rPr>
          <w:rFonts w:ascii="Arial" w:hAnsi="Arial" w:cs="Arial"/>
          <w:sz w:val="20"/>
          <w:szCs w:val="20"/>
        </w:rPr>
        <w:t>: Approving authorization for</w:t>
      </w:r>
      <w:r w:rsidRPr="00443F3D">
        <w:rPr>
          <w:rFonts w:ascii="Arial" w:hAnsi="Arial" w:cs="Arial"/>
          <w:sz w:val="20"/>
          <w:szCs w:val="20"/>
        </w:rPr>
        <w:t xml:space="preserve"> Mr. Nguyen Minh Ngoc - Permanent Member of the Board of Directors to carry out the procedures related to the conversion of convertible bonds into </w:t>
      </w:r>
      <w:r w:rsidR="0009402A">
        <w:rPr>
          <w:rFonts w:ascii="Arial" w:hAnsi="Arial" w:cs="Arial"/>
          <w:sz w:val="20"/>
          <w:szCs w:val="20"/>
        </w:rPr>
        <w:t>common shares, amendments to the C</w:t>
      </w:r>
      <w:r w:rsidRPr="00443F3D">
        <w:rPr>
          <w:rFonts w:ascii="Arial" w:hAnsi="Arial" w:cs="Arial"/>
          <w:sz w:val="20"/>
          <w:szCs w:val="20"/>
        </w:rPr>
        <w:t xml:space="preserve">harter </w:t>
      </w:r>
      <w:r w:rsidR="0009402A">
        <w:rPr>
          <w:rFonts w:ascii="Arial" w:hAnsi="Arial" w:cs="Arial"/>
          <w:sz w:val="20"/>
          <w:szCs w:val="20"/>
        </w:rPr>
        <w:t>on</w:t>
      </w:r>
      <w:r w:rsidRPr="00443F3D">
        <w:rPr>
          <w:rFonts w:ascii="Arial" w:hAnsi="Arial" w:cs="Arial"/>
          <w:sz w:val="20"/>
          <w:szCs w:val="20"/>
        </w:rPr>
        <w:t xml:space="preserve"> organizatio</w:t>
      </w:r>
      <w:r w:rsidR="00C4043A">
        <w:rPr>
          <w:rFonts w:ascii="Arial" w:hAnsi="Arial" w:cs="Arial"/>
          <w:sz w:val="20"/>
          <w:szCs w:val="20"/>
        </w:rPr>
        <w:t>n and operation of the Company, registration for change in</w:t>
      </w:r>
      <w:r w:rsidRPr="00443F3D">
        <w:rPr>
          <w:rFonts w:ascii="Arial" w:hAnsi="Arial" w:cs="Arial"/>
          <w:sz w:val="20"/>
          <w:szCs w:val="20"/>
        </w:rPr>
        <w:t xml:space="preserve"> </w:t>
      </w:r>
      <w:r w:rsidR="00C4043A">
        <w:rPr>
          <w:rFonts w:ascii="Arial" w:hAnsi="Arial" w:cs="Arial"/>
          <w:sz w:val="20"/>
          <w:szCs w:val="20"/>
        </w:rPr>
        <w:t>Business Registration Certificate</w:t>
      </w:r>
      <w:r w:rsidRPr="00443F3D">
        <w:rPr>
          <w:rFonts w:ascii="Arial" w:hAnsi="Arial" w:cs="Arial"/>
          <w:sz w:val="20"/>
          <w:szCs w:val="20"/>
        </w:rPr>
        <w:t xml:space="preserve">, additional securities registration at </w:t>
      </w:r>
      <w:r w:rsidR="00C4043A">
        <w:rPr>
          <w:rFonts w:ascii="Arial" w:hAnsi="Arial" w:cs="Arial"/>
          <w:sz w:val="20"/>
          <w:szCs w:val="20"/>
        </w:rPr>
        <w:t xml:space="preserve">the </w:t>
      </w:r>
      <w:r w:rsidRPr="00443F3D">
        <w:rPr>
          <w:rFonts w:ascii="Arial" w:hAnsi="Arial" w:cs="Arial"/>
          <w:sz w:val="20"/>
          <w:szCs w:val="20"/>
        </w:rPr>
        <w:t>Vietnam Securities Depository and additional transaction regis</w:t>
      </w:r>
      <w:r w:rsidR="00F64358">
        <w:rPr>
          <w:rFonts w:ascii="Arial" w:hAnsi="Arial" w:cs="Arial"/>
          <w:sz w:val="20"/>
          <w:szCs w:val="20"/>
        </w:rPr>
        <w:t>tration at Hanoi Stock Exchang</w:t>
      </w:r>
      <w:r w:rsidR="004C5F32">
        <w:rPr>
          <w:rFonts w:ascii="Arial" w:hAnsi="Arial" w:cs="Arial"/>
          <w:sz w:val="20"/>
          <w:szCs w:val="20"/>
        </w:rPr>
        <w:t>e</w:t>
      </w:r>
    </w:p>
    <w:p w:rsidR="007F2B4E" w:rsidRDefault="00F643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This Resolution was</w:t>
      </w:r>
      <w:r w:rsidR="00443F3D" w:rsidRPr="00443F3D">
        <w:rPr>
          <w:rFonts w:ascii="Arial" w:hAnsi="Arial" w:cs="Arial"/>
          <w:sz w:val="20"/>
          <w:szCs w:val="20"/>
        </w:rPr>
        <w:t xml:space="preserve"> passed with the </w:t>
      </w:r>
      <w:r>
        <w:rPr>
          <w:rFonts w:ascii="Arial" w:hAnsi="Arial" w:cs="Arial"/>
          <w:sz w:val="20"/>
          <w:szCs w:val="20"/>
        </w:rPr>
        <w:t xml:space="preserve">voting </w:t>
      </w:r>
      <w:r w:rsidR="00443F3D" w:rsidRPr="00443F3D">
        <w:rPr>
          <w:rFonts w:ascii="Arial" w:hAnsi="Arial" w:cs="Arial"/>
          <w:sz w:val="20"/>
          <w:szCs w:val="20"/>
        </w:rPr>
        <w:t>rate of 100% of the total number of members with voting rights and takes effect from the date of signing</w:t>
      </w:r>
      <w:r w:rsidR="00246EE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443F3D" w:rsidRPr="00443F3D">
        <w:rPr>
          <w:rFonts w:ascii="Arial" w:hAnsi="Arial" w:cs="Arial"/>
          <w:sz w:val="20"/>
          <w:szCs w:val="20"/>
        </w:rPr>
        <w:t xml:space="preserve"> </w:t>
      </w:r>
    </w:p>
    <w:sectPr w:rsidR="007F2B4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6EE7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F0C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352</cp:revision>
  <dcterms:created xsi:type="dcterms:W3CDTF">2019-10-16T10:03:00Z</dcterms:created>
  <dcterms:modified xsi:type="dcterms:W3CDTF">2020-06-19T09:21:00Z</dcterms:modified>
</cp:coreProperties>
</file>